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49BD" w14:textId="329553E0" w:rsidR="009575FC" w:rsidRPr="003967D5" w:rsidRDefault="0068412E" w:rsidP="009575FC">
      <w:pPr>
        <w:ind w:left="5245"/>
        <w:rPr>
          <w:rFonts w:ascii="Times New Roman" w:eastAsia="Times New Roman" w:hAnsi="Times New Roman"/>
          <w:bCs/>
          <w:sz w:val="24"/>
          <w:szCs w:val="24"/>
          <w:lang w:eastAsia="ru-RU"/>
        </w:rPr>
      </w:pPr>
      <w:r w:rsidRPr="003967D5">
        <w:rPr>
          <w:rFonts w:ascii="Times New Roman" w:eastAsia="Times New Roman" w:hAnsi="Times New Roman"/>
          <w:bCs/>
          <w:sz w:val="24"/>
          <w:szCs w:val="24"/>
          <w:lang w:eastAsia="ru-RU"/>
        </w:rPr>
        <w:t>Приложение №</w:t>
      </w:r>
      <w:r w:rsidR="00D85D59" w:rsidRPr="003967D5">
        <w:rPr>
          <w:rFonts w:ascii="Times New Roman" w:eastAsia="Times New Roman" w:hAnsi="Times New Roman"/>
          <w:bCs/>
          <w:sz w:val="24"/>
          <w:szCs w:val="24"/>
          <w:lang w:eastAsia="ru-RU"/>
        </w:rPr>
        <w:t>3</w:t>
      </w:r>
    </w:p>
    <w:p w14:paraId="4BA32FFB" w14:textId="77777777" w:rsidR="003967D5" w:rsidRPr="003967D5" w:rsidRDefault="0068412E" w:rsidP="003967D5">
      <w:pPr>
        <w:ind w:left="5245"/>
        <w:rPr>
          <w:rFonts w:ascii="Times New Roman" w:eastAsia="Times New Roman" w:hAnsi="Times New Roman"/>
          <w:bCs/>
          <w:sz w:val="24"/>
          <w:szCs w:val="24"/>
          <w:lang w:eastAsia="ru-RU" w:bidi="ru-RU"/>
        </w:rPr>
      </w:pPr>
      <w:r w:rsidRPr="003967D5">
        <w:rPr>
          <w:rFonts w:ascii="Times New Roman" w:eastAsia="Times New Roman" w:hAnsi="Times New Roman"/>
          <w:bCs/>
          <w:sz w:val="24"/>
          <w:szCs w:val="24"/>
          <w:lang w:eastAsia="ru-RU"/>
        </w:rPr>
        <w:t xml:space="preserve">к </w:t>
      </w:r>
      <w:r w:rsidR="009E11B1" w:rsidRPr="003967D5">
        <w:rPr>
          <w:rFonts w:ascii="Times New Roman" w:eastAsia="Times New Roman" w:hAnsi="Times New Roman"/>
          <w:bCs/>
          <w:sz w:val="24"/>
          <w:szCs w:val="24"/>
          <w:lang w:eastAsia="ru-RU"/>
        </w:rPr>
        <w:t xml:space="preserve">документации </w:t>
      </w:r>
      <w:r w:rsidR="00EE67BA" w:rsidRPr="003967D5">
        <w:rPr>
          <w:rFonts w:ascii="Times New Roman" w:eastAsia="Times New Roman" w:hAnsi="Times New Roman"/>
          <w:bCs/>
          <w:sz w:val="24"/>
          <w:szCs w:val="24"/>
          <w:lang w:eastAsia="ru-RU" w:bidi="ru-RU"/>
        </w:rPr>
        <w:t xml:space="preserve">об открытом аукционе </w:t>
      </w:r>
      <w:r w:rsidR="003967D5" w:rsidRPr="003967D5">
        <w:rPr>
          <w:rFonts w:ascii="Times New Roman" w:eastAsia="Times New Roman" w:hAnsi="Times New Roman"/>
          <w:bCs/>
          <w:sz w:val="24"/>
          <w:szCs w:val="24"/>
          <w:lang w:eastAsia="ru-RU" w:bidi="ru-RU"/>
        </w:rPr>
        <w:t>по закупке медицинского оборудования для нужд ГУ «Р</w:t>
      </w:r>
      <w:bookmarkStart w:id="0" w:name="_GoBack"/>
      <w:bookmarkEnd w:id="0"/>
      <w:r w:rsidR="003967D5" w:rsidRPr="003967D5">
        <w:rPr>
          <w:rFonts w:ascii="Times New Roman" w:eastAsia="Times New Roman" w:hAnsi="Times New Roman"/>
          <w:bCs/>
          <w:sz w:val="24"/>
          <w:szCs w:val="24"/>
          <w:lang w:eastAsia="ru-RU" w:bidi="ru-RU"/>
        </w:rPr>
        <w:t>еспубликанская клиническая больница»</w:t>
      </w:r>
    </w:p>
    <w:p w14:paraId="146D3BF6" w14:textId="4E748E71" w:rsidR="00E82C18" w:rsidRPr="0068412E" w:rsidRDefault="00E82C18" w:rsidP="003967D5">
      <w:pPr>
        <w:ind w:left="5245"/>
        <w:rPr>
          <w:rFonts w:ascii="Times New Roman" w:eastAsia="Times New Roman" w:hAnsi="Times New Roman"/>
          <w:bCs/>
          <w:sz w:val="24"/>
          <w:szCs w:val="24"/>
          <w:lang w:eastAsia="ru-RU"/>
        </w:rPr>
      </w:pP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193D4FD0"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w:t>
      </w:r>
      <w:r w:rsidR="00796246">
        <w:rPr>
          <w:rFonts w:ascii="Times New Roman" w:hAnsi="Times New Roman"/>
          <w:sz w:val="24"/>
          <w:szCs w:val="24"/>
        </w:rPr>
        <w:t>лице</w:t>
      </w:r>
      <w:r w:rsidR="00EE67BA">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9F1764">
        <w:rPr>
          <w:rFonts w:ascii="Times New Roman" w:hAnsi="Times New Roman"/>
          <w:sz w:val="24"/>
          <w:szCs w:val="24"/>
        </w:rPr>
        <w:t>Республиканская клиническая больница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9F1764">
        <w:rPr>
          <w:rFonts w:ascii="Times New Roman" w:hAnsi="Times New Roman"/>
          <w:sz w:val="24"/>
          <w:szCs w:val="24"/>
        </w:rPr>
        <w:t>Тостановского И.М.</w:t>
      </w:r>
      <w:r w:rsidR="0028682D">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3E2F990E"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9575FC">
        <w:rPr>
          <w:rFonts w:ascii="Times New Roman" w:hAnsi="Times New Roman"/>
          <w:sz w:val="24"/>
          <w:szCs w:val="24"/>
        </w:rPr>
        <w:t>медицинское оборудование</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3CBBE49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44053E" w:rsidRPr="0044053E">
        <w:rPr>
          <w:rFonts w:ascii="Times New Roman" w:hAnsi="Times New Roman"/>
          <w:sz w:val="24"/>
          <w:szCs w:val="24"/>
          <w:lang w:bidi="ru-RU"/>
        </w:rPr>
        <w:t xml:space="preserve">в размере </w:t>
      </w:r>
      <w:r w:rsidR="00796246">
        <w:rPr>
          <w:rFonts w:ascii="Times New Roman" w:hAnsi="Times New Roman"/>
          <w:sz w:val="24"/>
          <w:szCs w:val="24"/>
          <w:lang w:bidi="ru-RU"/>
        </w:rPr>
        <w:t>50</w:t>
      </w:r>
      <w:r w:rsidR="0044053E" w:rsidRPr="0044053E">
        <w:rPr>
          <w:rFonts w:ascii="Times New Roman" w:hAnsi="Times New Roman"/>
          <w:sz w:val="24"/>
          <w:szCs w:val="24"/>
          <w:lang w:bidi="ru-RU"/>
        </w:rPr>
        <w:t xml:space="preserve">% от суммы контракта, оставшиеся </w:t>
      </w:r>
      <w:r w:rsidR="00796246">
        <w:rPr>
          <w:rFonts w:ascii="Times New Roman" w:hAnsi="Times New Roman"/>
          <w:sz w:val="24"/>
          <w:szCs w:val="24"/>
          <w:lang w:bidi="ru-RU"/>
        </w:rPr>
        <w:t>50</w:t>
      </w:r>
      <w:r w:rsidR="0044053E" w:rsidRPr="0044053E">
        <w:rPr>
          <w:rFonts w:ascii="Times New Roman" w:hAnsi="Times New Roman"/>
          <w:sz w:val="24"/>
          <w:szCs w:val="24"/>
          <w:lang w:bidi="ru-RU"/>
        </w:rPr>
        <w:t>% в течение 30 календарных дней со дня осуществления поставки</w:t>
      </w:r>
      <w:r w:rsidR="00F013ED">
        <w:rPr>
          <w:rFonts w:ascii="Times New Roman" w:hAnsi="Times New Roman"/>
          <w:sz w:val="24"/>
          <w:szCs w:val="24"/>
        </w:rPr>
        <w:t>.</w:t>
      </w:r>
    </w:p>
    <w:p w14:paraId="4E1424FA" w14:textId="04D63FAB" w:rsidR="00653087" w:rsidRPr="00653087" w:rsidRDefault="00C81100" w:rsidP="00653087">
      <w:pPr>
        <w:tabs>
          <w:tab w:val="left" w:pos="142"/>
          <w:tab w:val="left" w:pos="993"/>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653087">
        <w:rPr>
          <w:rFonts w:ascii="Times New Roman" w:eastAsia="Times New Roman" w:hAnsi="Times New Roman"/>
          <w:sz w:val="24"/>
          <w:szCs w:val="24"/>
          <w:lang w:eastAsia="ru-RU" w:bidi="ru-RU"/>
        </w:rPr>
        <w:t xml:space="preserve"> </w:t>
      </w:r>
      <w:r w:rsidR="00653087" w:rsidRPr="00653087">
        <w:rPr>
          <w:rFonts w:ascii="Times New Roman" w:eastAsia="Times New Roman" w:hAnsi="Times New Roman"/>
          <w:sz w:val="24"/>
          <w:szCs w:val="24"/>
          <w:lang w:eastAsia="ru-RU" w:bidi="ru-RU"/>
        </w:rPr>
        <w:t>Республиканский бюджет</w:t>
      </w:r>
      <w:r w:rsidR="00653087" w:rsidRPr="00653087">
        <w:rPr>
          <w:rFonts w:ascii="Times New Roman" w:eastAsia="Times New Roman" w:hAnsi="Times New Roman"/>
          <w:b/>
          <w:bCs/>
          <w:sz w:val="24"/>
          <w:szCs w:val="24"/>
          <w:lang w:eastAsia="ru-RU" w:bidi="ru-RU"/>
        </w:rPr>
        <w:t xml:space="preserve">, </w:t>
      </w:r>
      <w:r w:rsidR="00653087" w:rsidRPr="00653087">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специального автотранспорта). </w:t>
      </w: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55D8053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lastRenderedPageBreak/>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962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5499BE7D"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243E99">
        <w:rPr>
          <w:rFonts w:ascii="Times New Roman" w:hAnsi="Times New Roman"/>
          <w:sz w:val="24"/>
          <w:szCs w:val="24"/>
        </w:rPr>
        <w:t>Мира, 33</w:t>
      </w:r>
      <w:r w:rsidR="00F013ED">
        <w:rPr>
          <w:rFonts w:ascii="Times New Roman" w:hAnsi="Times New Roman"/>
          <w:sz w:val="24"/>
          <w:szCs w:val="24"/>
        </w:rPr>
        <w:t xml:space="preserve">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46B1F15B"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проверить работоспособность, предъявить результат По</w:t>
      </w:r>
      <w:r w:rsidR="00243E99">
        <w:rPr>
          <w:rFonts w:ascii="Times New Roman" w:hAnsi="Times New Roman"/>
          <w:sz w:val="24"/>
          <w:szCs w:val="24"/>
        </w:rPr>
        <w:t>купателю</w:t>
      </w:r>
      <w:r w:rsidRPr="00EE67BA">
        <w:rPr>
          <w:rFonts w:ascii="Times New Roman" w:hAnsi="Times New Roman"/>
          <w:sz w:val="24"/>
          <w:szCs w:val="24"/>
        </w:rPr>
        <w:t>.</w:t>
      </w:r>
    </w:p>
    <w:p w14:paraId="0C48878C" w14:textId="30B41ABB"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4.2.6 Обязательно обучить персонал ГУ «</w:t>
      </w:r>
      <w:r w:rsidR="009F1764">
        <w:rPr>
          <w:rFonts w:ascii="Times New Roman" w:hAnsi="Times New Roman"/>
          <w:sz w:val="24"/>
          <w:szCs w:val="24"/>
        </w:rPr>
        <w:t>Республиканская клиническая больница</w:t>
      </w:r>
      <w:r>
        <w:rPr>
          <w:rFonts w:ascii="Times New Roman" w:hAnsi="Times New Roman"/>
          <w:sz w:val="24"/>
          <w:szCs w:val="24"/>
        </w:rPr>
        <w:t xml:space="preserve">»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lastRenderedPageBreak/>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18E25ECC" w:rsidR="00666A12" w:rsidRPr="00666A12" w:rsidRDefault="00666A12" w:rsidP="00F013ED">
            <w:pPr>
              <w:rPr>
                <w:rFonts w:ascii="Times New Roman" w:hAnsi="Times New Roman"/>
                <w:b/>
                <w:sz w:val="24"/>
                <w:szCs w:val="24"/>
              </w:rPr>
            </w:pPr>
            <w:r w:rsidRPr="00666A12">
              <w:rPr>
                <w:rFonts w:ascii="Times New Roman" w:hAnsi="Times New Roman"/>
                <w:b/>
                <w:sz w:val="24"/>
                <w:szCs w:val="24"/>
              </w:rPr>
              <w:t>ГУ «</w:t>
            </w:r>
            <w:r w:rsidR="009F1764">
              <w:rPr>
                <w:rFonts w:ascii="Times New Roman" w:hAnsi="Times New Roman"/>
                <w:b/>
                <w:sz w:val="24"/>
                <w:szCs w:val="24"/>
              </w:rPr>
              <w:t>Республиканская клиническая больниц</w:t>
            </w:r>
            <w:r w:rsidR="0080386E">
              <w:rPr>
                <w:rFonts w:ascii="Times New Roman" w:hAnsi="Times New Roman"/>
                <w:b/>
                <w:sz w:val="24"/>
                <w:szCs w:val="24"/>
              </w:rPr>
              <w:t>а</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C9D1AFC" w:rsidR="00666A12" w:rsidRPr="00666A12" w:rsidRDefault="002E6331" w:rsidP="00F013ED">
            <w:pPr>
              <w:rPr>
                <w:rFonts w:ascii="Times New Roman" w:hAnsi="Times New Roman"/>
                <w:bCs/>
                <w:sz w:val="24"/>
                <w:szCs w:val="24"/>
              </w:rPr>
            </w:pPr>
            <w:r>
              <w:rPr>
                <w:rFonts w:ascii="Times New Roman" w:hAnsi="Times New Roman"/>
                <w:bCs/>
                <w:sz w:val="24"/>
                <w:szCs w:val="24"/>
              </w:rPr>
              <w:t xml:space="preserve">____________________ </w:t>
            </w:r>
            <w:r w:rsidR="009F1764">
              <w:rPr>
                <w:rFonts w:ascii="Times New Roman" w:hAnsi="Times New Roman"/>
                <w:bCs/>
                <w:sz w:val="24"/>
                <w:szCs w:val="24"/>
              </w:rPr>
              <w:t>И.М. Тостановский</w:t>
            </w:r>
            <w:r w:rsidR="0080386E">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39C141D"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72BE2720"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8E1E0E9" w14:textId="4503DBFA" w:rsidR="00F013ED" w:rsidRDefault="00796246"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0139E65"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80386E">
        <w:rPr>
          <w:rFonts w:ascii="Times New Roman" w:hAnsi="Times New Roman"/>
          <w:b/>
          <w:sz w:val="24"/>
          <w:szCs w:val="24"/>
        </w:rPr>
        <w:t xml:space="preserve">политике </w:t>
      </w:r>
      <w:r w:rsidR="0080386E"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642DEF1B" w14:textId="77777777" w:rsidR="00796246" w:rsidRDefault="002547BB" w:rsidP="00E56ACC">
      <w:pPr>
        <w:jc w:val="right"/>
        <w:rPr>
          <w:rFonts w:ascii="Times New Roman" w:hAnsi="Times New Roman"/>
          <w:b/>
          <w:sz w:val="24"/>
          <w:szCs w:val="24"/>
        </w:rPr>
      </w:pPr>
      <w:r>
        <w:rPr>
          <w:rFonts w:ascii="Times New Roman" w:hAnsi="Times New Roman"/>
          <w:b/>
          <w:sz w:val="24"/>
          <w:szCs w:val="24"/>
        </w:rPr>
        <w:t xml:space="preserve">      </w:t>
      </w:r>
    </w:p>
    <w:p w14:paraId="6569A00B" w14:textId="401AEE1F" w:rsidR="002878BD" w:rsidRDefault="009E5B90" w:rsidP="00E56ACC">
      <w:pPr>
        <w:jc w:val="right"/>
        <w:rPr>
          <w:rFonts w:ascii="Times New Roman" w:hAnsi="Times New Roman"/>
          <w:b/>
          <w:sz w:val="24"/>
          <w:szCs w:val="24"/>
        </w:rPr>
      </w:pPr>
      <w:r>
        <w:rPr>
          <w:rFonts w:ascii="Times New Roman" w:hAnsi="Times New Roman"/>
          <w:b/>
          <w:sz w:val="24"/>
          <w:szCs w:val="24"/>
        </w:rPr>
        <w:t xml:space="preserve"> </w:t>
      </w:r>
      <w:r w:rsidR="002547BB">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lastRenderedPageBreak/>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9BFC989"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w:t>
      </w:r>
      <w:r w:rsidR="0080386E" w:rsidRPr="005324EB">
        <w:rPr>
          <w:rFonts w:ascii="Times New Roman" w:hAnsi="Times New Roman"/>
          <w:b/>
          <w:sz w:val="24"/>
          <w:szCs w:val="24"/>
        </w:rPr>
        <w:t xml:space="preserve">контракту </w:t>
      </w:r>
      <w:r w:rsidR="0080386E">
        <w:rPr>
          <w:rFonts w:ascii="Times New Roman" w:hAnsi="Times New Roman"/>
          <w:b/>
          <w:sz w:val="24"/>
          <w:szCs w:val="24"/>
        </w:rPr>
        <w:t>поставки</w:t>
      </w:r>
      <w:r w:rsidR="00F013ED">
        <w:rPr>
          <w:rFonts w:ascii="Times New Roman" w:hAnsi="Times New Roman"/>
          <w:b/>
          <w:sz w:val="24"/>
          <w:szCs w:val="24"/>
        </w:rPr>
        <w:t xml:space="preserve">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F1D3461" w14:textId="77777777" w:rsidR="009F1764" w:rsidRPr="00B9459F" w:rsidRDefault="0080386E" w:rsidP="009F1764">
      <w:pPr>
        <w:rPr>
          <w:rFonts w:ascii="Times New Roman" w:hAnsi="Times New Roman"/>
          <w:b/>
          <w:sz w:val="24"/>
          <w:szCs w:val="24"/>
        </w:rPr>
      </w:pPr>
      <w:r w:rsidRPr="00B9459F">
        <w:rPr>
          <w:rFonts w:ascii="Times New Roman" w:hAnsi="Times New Roman"/>
          <w:b/>
          <w:sz w:val="24"/>
          <w:szCs w:val="24"/>
        </w:rPr>
        <w:t xml:space="preserve">               </w:t>
      </w:r>
      <w:r w:rsidR="009F1764" w:rsidRPr="00B9459F">
        <w:rPr>
          <w:rFonts w:ascii="Times New Roman" w:hAnsi="Times New Roman"/>
          <w:b/>
          <w:sz w:val="24"/>
          <w:szCs w:val="24"/>
        </w:rPr>
        <w:t xml:space="preserve">               </w:t>
      </w:r>
      <w:proofErr w:type="gramStart"/>
      <w:r w:rsidR="009F1764" w:rsidRPr="00B9459F">
        <w:rPr>
          <w:rFonts w:ascii="Times New Roman" w:hAnsi="Times New Roman"/>
          <w:b/>
          <w:sz w:val="24"/>
          <w:szCs w:val="24"/>
        </w:rPr>
        <w:t xml:space="preserve">Поставщик:   </w:t>
      </w:r>
      <w:proofErr w:type="gramEnd"/>
      <w:r w:rsidR="009F1764" w:rsidRPr="00B9459F">
        <w:rPr>
          <w:rFonts w:ascii="Times New Roman" w:hAnsi="Times New Roman"/>
          <w:b/>
          <w:sz w:val="24"/>
          <w:szCs w:val="24"/>
        </w:rPr>
        <w:t xml:space="preserve">                                                       Покупатель:</w:t>
      </w:r>
    </w:p>
    <w:p w14:paraId="3E6F261C" w14:textId="77777777" w:rsidR="009F1764" w:rsidRPr="00B9459F" w:rsidRDefault="009F1764" w:rsidP="009F1764">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1764" w14:paraId="583365C6" w14:textId="77777777" w:rsidTr="0016397A">
        <w:tc>
          <w:tcPr>
            <w:tcW w:w="4672" w:type="dxa"/>
          </w:tcPr>
          <w:p w14:paraId="4915D4D7" w14:textId="77777777" w:rsidR="009F1764" w:rsidRPr="00666A12" w:rsidRDefault="009F1764" w:rsidP="0016397A">
            <w:pPr>
              <w:rPr>
                <w:rFonts w:ascii="Times New Roman" w:hAnsi="Times New Roman"/>
                <w:b/>
                <w:sz w:val="24"/>
                <w:szCs w:val="24"/>
              </w:rPr>
            </w:pPr>
            <w:r>
              <w:rPr>
                <w:rFonts w:ascii="Times New Roman" w:hAnsi="Times New Roman"/>
                <w:b/>
                <w:sz w:val="24"/>
                <w:szCs w:val="24"/>
              </w:rPr>
              <w:t>___________________</w:t>
            </w:r>
          </w:p>
        </w:tc>
        <w:tc>
          <w:tcPr>
            <w:tcW w:w="4673" w:type="dxa"/>
          </w:tcPr>
          <w:p w14:paraId="65931FAF" w14:textId="77777777" w:rsidR="009F1764" w:rsidRPr="00666A12" w:rsidRDefault="009F1764" w:rsidP="0016397A">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tc>
      </w:tr>
      <w:tr w:rsidR="009F1764" w14:paraId="002AF53E" w14:textId="77777777" w:rsidTr="0016397A">
        <w:tc>
          <w:tcPr>
            <w:tcW w:w="4672" w:type="dxa"/>
          </w:tcPr>
          <w:p w14:paraId="46D437AB" w14:textId="77777777" w:rsidR="009F1764" w:rsidRPr="00666A12" w:rsidRDefault="009F1764" w:rsidP="0016397A">
            <w:pPr>
              <w:rPr>
                <w:rFonts w:ascii="Times New Roman" w:hAnsi="Times New Roman"/>
                <w:bCs/>
                <w:sz w:val="24"/>
                <w:szCs w:val="24"/>
              </w:rPr>
            </w:pPr>
          </w:p>
        </w:tc>
        <w:tc>
          <w:tcPr>
            <w:tcW w:w="4673" w:type="dxa"/>
          </w:tcPr>
          <w:p w14:paraId="566873AF" w14:textId="77777777" w:rsidR="009F1764" w:rsidRPr="00666A12" w:rsidRDefault="009F1764" w:rsidP="0016397A">
            <w:pPr>
              <w:rPr>
                <w:rFonts w:ascii="Times New Roman" w:hAnsi="Times New Roman"/>
                <w:bCs/>
                <w:sz w:val="24"/>
                <w:szCs w:val="24"/>
              </w:rPr>
            </w:pPr>
          </w:p>
        </w:tc>
      </w:tr>
      <w:tr w:rsidR="009F1764" w14:paraId="6BBC86A3" w14:textId="77777777" w:rsidTr="0016397A">
        <w:tc>
          <w:tcPr>
            <w:tcW w:w="4672" w:type="dxa"/>
          </w:tcPr>
          <w:p w14:paraId="0B0EF7E2" w14:textId="77777777" w:rsidR="009F1764" w:rsidRPr="00666A12" w:rsidRDefault="009F1764" w:rsidP="0016397A">
            <w:pPr>
              <w:rPr>
                <w:rFonts w:ascii="Times New Roman" w:hAnsi="Times New Roman"/>
                <w:bCs/>
                <w:sz w:val="24"/>
                <w:szCs w:val="24"/>
              </w:rPr>
            </w:pPr>
          </w:p>
        </w:tc>
        <w:tc>
          <w:tcPr>
            <w:tcW w:w="4673" w:type="dxa"/>
          </w:tcPr>
          <w:p w14:paraId="584860F5" w14:textId="77777777" w:rsidR="009F1764" w:rsidRDefault="009F1764" w:rsidP="0016397A">
            <w:pPr>
              <w:rPr>
                <w:rFonts w:ascii="Times New Roman" w:hAnsi="Times New Roman"/>
                <w:bCs/>
                <w:sz w:val="24"/>
                <w:szCs w:val="24"/>
              </w:rPr>
            </w:pPr>
          </w:p>
        </w:tc>
      </w:tr>
      <w:tr w:rsidR="009F1764" w14:paraId="110A48F7" w14:textId="77777777" w:rsidTr="0016397A">
        <w:tc>
          <w:tcPr>
            <w:tcW w:w="4672" w:type="dxa"/>
          </w:tcPr>
          <w:p w14:paraId="3A85FE7F"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41811B8A"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Главный врач</w:t>
            </w:r>
          </w:p>
        </w:tc>
      </w:tr>
      <w:tr w:rsidR="009F1764" w14:paraId="31CFE08C" w14:textId="77777777" w:rsidTr="0016397A">
        <w:tc>
          <w:tcPr>
            <w:tcW w:w="4672" w:type="dxa"/>
          </w:tcPr>
          <w:p w14:paraId="529DD850" w14:textId="77777777" w:rsidR="009F1764" w:rsidRPr="00666A12" w:rsidRDefault="009F1764" w:rsidP="0016397A">
            <w:pPr>
              <w:rPr>
                <w:rFonts w:ascii="Times New Roman" w:hAnsi="Times New Roman"/>
                <w:bCs/>
                <w:sz w:val="24"/>
                <w:szCs w:val="24"/>
              </w:rPr>
            </w:pPr>
          </w:p>
        </w:tc>
        <w:tc>
          <w:tcPr>
            <w:tcW w:w="4673" w:type="dxa"/>
          </w:tcPr>
          <w:p w14:paraId="0C8051D4" w14:textId="77777777" w:rsidR="009F1764" w:rsidRPr="00666A12" w:rsidRDefault="009F1764" w:rsidP="0016397A">
            <w:pPr>
              <w:rPr>
                <w:rFonts w:ascii="Times New Roman" w:hAnsi="Times New Roman"/>
                <w:bCs/>
                <w:sz w:val="24"/>
                <w:szCs w:val="24"/>
              </w:rPr>
            </w:pPr>
          </w:p>
        </w:tc>
      </w:tr>
      <w:tr w:rsidR="009F1764" w14:paraId="6FB479AD" w14:textId="77777777" w:rsidTr="0016397A">
        <w:tc>
          <w:tcPr>
            <w:tcW w:w="4672" w:type="dxa"/>
          </w:tcPr>
          <w:p w14:paraId="0EE62CFC" w14:textId="77777777" w:rsidR="009F1764" w:rsidRPr="00666A12" w:rsidRDefault="009F1764" w:rsidP="0016397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2F587605" w14:textId="77777777" w:rsidR="009F1764" w:rsidRPr="00666A12" w:rsidRDefault="009F1764" w:rsidP="0016397A">
            <w:pPr>
              <w:rPr>
                <w:rFonts w:ascii="Times New Roman" w:hAnsi="Times New Roman"/>
                <w:bCs/>
                <w:sz w:val="24"/>
                <w:szCs w:val="24"/>
              </w:rPr>
            </w:pPr>
            <w:r>
              <w:rPr>
                <w:rFonts w:ascii="Times New Roman" w:hAnsi="Times New Roman"/>
                <w:bCs/>
                <w:sz w:val="24"/>
                <w:szCs w:val="24"/>
              </w:rPr>
              <w:t xml:space="preserve">____________________ И.М. Тостановский </w:t>
            </w:r>
          </w:p>
        </w:tc>
      </w:tr>
      <w:tr w:rsidR="009F1764" w14:paraId="5AB6274D" w14:textId="77777777" w:rsidTr="0016397A">
        <w:tc>
          <w:tcPr>
            <w:tcW w:w="4672" w:type="dxa"/>
          </w:tcPr>
          <w:p w14:paraId="79ACD635" w14:textId="77777777" w:rsidR="009F1764" w:rsidRPr="00666A12" w:rsidRDefault="009F1764" w:rsidP="0016397A">
            <w:pPr>
              <w:rPr>
                <w:rFonts w:ascii="Times New Roman" w:hAnsi="Times New Roman"/>
                <w:bCs/>
                <w:sz w:val="24"/>
                <w:szCs w:val="24"/>
              </w:rPr>
            </w:pPr>
          </w:p>
        </w:tc>
        <w:tc>
          <w:tcPr>
            <w:tcW w:w="4673" w:type="dxa"/>
          </w:tcPr>
          <w:p w14:paraId="76A2B2E6" w14:textId="77777777" w:rsidR="009F1764" w:rsidRPr="00666A12" w:rsidRDefault="009F1764" w:rsidP="0016397A">
            <w:pPr>
              <w:rPr>
                <w:rFonts w:ascii="Times New Roman" w:hAnsi="Times New Roman"/>
                <w:bCs/>
                <w:sz w:val="24"/>
                <w:szCs w:val="24"/>
              </w:rPr>
            </w:pPr>
          </w:p>
        </w:tc>
      </w:tr>
      <w:tr w:rsidR="009F1764" w14:paraId="33570D49" w14:textId="77777777" w:rsidTr="0016397A">
        <w:tc>
          <w:tcPr>
            <w:tcW w:w="4672" w:type="dxa"/>
          </w:tcPr>
          <w:p w14:paraId="190E97A8"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5FDCC3F9"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г.</w:t>
            </w:r>
          </w:p>
        </w:tc>
      </w:tr>
    </w:tbl>
    <w:p w14:paraId="2DA57D97" w14:textId="77777777" w:rsidR="009F1764" w:rsidRDefault="009F1764" w:rsidP="009F1764">
      <w:pPr>
        <w:rPr>
          <w:rFonts w:ascii="Times New Roman" w:hAnsi="Times New Roman"/>
          <w:b/>
          <w:sz w:val="24"/>
          <w:szCs w:val="24"/>
        </w:rPr>
      </w:pPr>
    </w:p>
    <w:p w14:paraId="40CFDC0D" w14:textId="77777777" w:rsidR="009F1764" w:rsidRPr="00B9459F" w:rsidRDefault="009F1764" w:rsidP="009F1764">
      <w:pPr>
        <w:rPr>
          <w:rFonts w:ascii="Times New Roman" w:hAnsi="Times New Roman"/>
          <w:b/>
          <w:sz w:val="24"/>
          <w:szCs w:val="24"/>
        </w:rPr>
      </w:pPr>
      <w:r w:rsidRPr="00B9459F">
        <w:rPr>
          <w:rFonts w:ascii="Times New Roman" w:hAnsi="Times New Roman"/>
          <w:b/>
          <w:sz w:val="24"/>
          <w:szCs w:val="24"/>
        </w:rPr>
        <w:t xml:space="preserve">                                           </w:t>
      </w:r>
    </w:p>
    <w:p w14:paraId="0139C288"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1FE88CC9" w14:textId="77777777" w:rsidR="009F1764" w:rsidRPr="00B9459F" w:rsidRDefault="009F1764" w:rsidP="009F1764">
      <w:pPr>
        <w:jc w:val="center"/>
        <w:rPr>
          <w:rFonts w:ascii="Times New Roman" w:hAnsi="Times New Roman"/>
          <w:b/>
          <w:sz w:val="24"/>
          <w:szCs w:val="24"/>
        </w:rPr>
      </w:pPr>
    </w:p>
    <w:p w14:paraId="376DC96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09D40CE3"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6FF0C8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21904307"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р/счет 2182006436701003</w:t>
      </w:r>
    </w:p>
    <w:p w14:paraId="36682EEC"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5DCE33B"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КУБ 00</w:t>
      </w:r>
    </w:p>
    <w:p w14:paraId="160643ED"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Ф/к 0200018510</w:t>
      </w:r>
    </w:p>
    <w:p w14:paraId="09688762" w14:textId="77777777" w:rsidR="009F1764" w:rsidRPr="00B9459F" w:rsidRDefault="009F1764" w:rsidP="009F1764">
      <w:pPr>
        <w:jc w:val="center"/>
        <w:rPr>
          <w:rFonts w:ascii="Times New Roman" w:hAnsi="Times New Roman"/>
          <w:b/>
          <w:sz w:val="24"/>
          <w:szCs w:val="24"/>
        </w:rPr>
      </w:pPr>
    </w:p>
    <w:p w14:paraId="0A1E7B7E"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Заместитель министра </w:t>
      </w:r>
    </w:p>
    <w:p w14:paraId="4E744FCA"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F25C901" w14:textId="77777777" w:rsidR="009F1764" w:rsidRPr="00B9459F" w:rsidRDefault="009F1764" w:rsidP="009F1764">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479D1649" w14:textId="77777777" w:rsidR="009F1764" w:rsidRPr="00E82C18" w:rsidRDefault="009F1764" w:rsidP="009F1764">
      <w:pPr>
        <w:jc w:val="center"/>
        <w:rPr>
          <w:rFonts w:ascii="Times New Roman" w:hAnsi="Times New Roman"/>
          <w:b/>
          <w:sz w:val="8"/>
          <w:szCs w:val="8"/>
        </w:rPr>
      </w:pPr>
    </w:p>
    <w:p w14:paraId="706CD013" w14:textId="77777777" w:rsidR="009F1764" w:rsidRPr="0025522F" w:rsidRDefault="009F1764" w:rsidP="009F1764">
      <w:pPr>
        <w:jc w:val="center"/>
        <w:rPr>
          <w:rFonts w:ascii="Times New Roman" w:hAnsi="Times New Roman"/>
          <w:b/>
          <w:sz w:val="24"/>
          <w:szCs w:val="24"/>
        </w:rPr>
      </w:pPr>
      <w:r w:rsidRPr="00B9459F">
        <w:rPr>
          <w:rFonts w:ascii="Times New Roman" w:hAnsi="Times New Roman"/>
          <w:b/>
          <w:sz w:val="24"/>
          <w:szCs w:val="24"/>
        </w:rPr>
        <w:t>«___»____________202__ г.</w:t>
      </w:r>
    </w:p>
    <w:p w14:paraId="7EC8ACB8" w14:textId="197755C7" w:rsidR="00FF3A3E" w:rsidRPr="003D70DA" w:rsidRDefault="002878BD" w:rsidP="009F1764">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D85D5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43E99"/>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9059D"/>
    <w:rsid w:val="003967D5"/>
    <w:rsid w:val="003D70DA"/>
    <w:rsid w:val="003E79E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53087"/>
    <w:rsid w:val="00666A12"/>
    <w:rsid w:val="00666DA8"/>
    <w:rsid w:val="006811AD"/>
    <w:rsid w:val="0068412E"/>
    <w:rsid w:val="00685F4A"/>
    <w:rsid w:val="006B069B"/>
    <w:rsid w:val="006B384D"/>
    <w:rsid w:val="006C711B"/>
    <w:rsid w:val="006D0C57"/>
    <w:rsid w:val="006E2859"/>
    <w:rsid w:val="00720A8C"/>
    <w:rsid w:val="00796246"/>
    <w:rsid w:val="007B2E65"/>
    <w:rsid w:val="007B6C42"/>
    <w:rsid w:val="0080386E"/>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575FC"/>
    <w:rsid w:val="00961835"/>
    <w:rsid w:val="0098185E"/>
    <w:rsid w:val="00982714"/>
    <w:rsid w:val="009927C7"/>
    <w:rsid w:val="009945D9"/>
    <w:rsid w:val="00995506"/>
    <w:rsid w:val="009E11B1"/>
    <w:rsid w:val="009E5B90"/>
    <w:rsid w:val="009F1764"/>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40266"/>
    <w:rsid w:val="00D54102"/>
    <w:rsid w:val="00D85D59"/>
    <w:rsid w:val="00D902B1"/>
    <w:rsid w:val="00D9140E"/>
    <w:rsid w:val="00DF29EA"/>
    <w:rsid w:val="00E309E5"/>
    <w:rsid w:val="00E36F6A"/>
    <w:rsid w:val="00E45879"/>
    <w:rsid w:val="00E56ACC"/>
    <w:rsid w:val="00E63801"/>
    <w:rsid w:val="00E82C18"/>
    <w:rsid w:val="00ED7417"/>
    <w:rsid w:val="00EE67BA"/>
    <w:rsid w:val="00F013ED"/>
    <w:rsid w:val="00F433B4"/>
    <w:rsid w:val="00F668F0"/>
    <w:rsid w:val="00F74719"/>
    <w:rsid w:val="00F77A30"/>
    <w:rsid w:val="00F93B52"/>
    <w:rsid w:val="00F9419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6</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75</cp:revision>
  <cp:lastPrinted>2023-07-12T09:18:00Z</cp:lastPrinted>
  <dcterms:created xsi:type="dcterms:W3CDTF">2022-02-15T11:19:00Z</dcterms:created>
  <dcterms:modified xsi:type="dcterms:W3CDTF">2023-09-01T10:02:00Z</dcterms:modified>
</cp:coreProperties>
</file>